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Street lighting tender specification</w:t>
      </w:r>
    </w:p>
    <w:p>
      <w:r>
        <w:rPr>
          <w:i/>
        </w:rPr>
        <w:t>Template from OpenSLMS Learn. Text in [square brackets] is for you to complete. Orange italic notes give regional options; delete the ones that do not apply. Check every clause with your technical, procurement, and legal teams.</w:t>
      </w:r>
    </w:p>
    <w:p>
      <w:pPr>
        <w:pStyle w:val="Heading1"/>
      </w:pPr>
      <w:r>
        <w:t>1. Scope</w:t>
      </w:r>
    </w:p>
    <w:p>
      <w:r>
        <w:rPr>
          <w:i w:val="0"/>
        </w:rPr>
        <w:t>The contractor shall supply, install, commission, and maintain [number] LED road luminaires, [number] cabinet controllers, [number] lamp-level nodes, and a central management and maintenance platform for [city / authority], for a period of [years] years.</w:t>
      </w:r>
    </w:p>
    <w:p>
      <w:pPr>
        <w:pStyle w:val="Heading1"/>
      </w:pPr>
      <w:r>
        <w:t>2. Standards and compliance</w:t>
      </w:r>
    </w:p>
    <w:p>
      <w:r>
        <w:rPr>
          <w:i w:val="0"/>
        </w:rPr>
        <w:t>All equipment shall comply with the current editions of the following, or equivalent:</w:t>
      </w:r>
    </w:p>
    <w:p>
      <w:r>
        <w:rPr>
          <w:i/>
          <w:color w:val="8A5A00"/>
        </w:rPr>
        <w:t>Europe: EN 13201 (lighting design), EN 60598-1 and EN 60598-2-3, EN 62722-2-1, EN 61347, EN 62471, CE marking (LVD, EMC, RED, RoHS, Ecodesign), ENEC or equivalent independent certification.</w:t>
      </w:r>
    </w:p>
    <w:p>
      <w:r>
        <w:rPr>
          <w:i/>
          <w:color w:val="8A5A00"/>
        </w:rPr>
        <w:t>Middle East: [authority] road lighting manual, IEC 60598-2-3, IEC 62722-2-1, IEC 61547, local conformity (ECAS / EQM, SASO via SABER, or GSO), and the authority approved product list.</w:t>
      </w:r>
    </w:p>
    <w:p>
      <w:r>
        <w:rPr>
          <w:i/>
          <w:color w:val="8A5A00"/>
        </w:rPr>
        <w:t>South Asia: IS 1944, IS 10322, IS 16101–16108 series, BIS Compulsory Registration, test reports from an NABL-accredited laboratory.</w:t>
      </w:r>
    </w:p>
    <w:p>
      <w:r>
        <w:rPr>
          <w:i/>
          <w:color w:val="8A5A00"/>
        </w:rPr>
        <w:t>USA: ANSI/IES RP-8, UL 1598 and UL 8750 listing by an NRTL, ANSI C136 series (C136.37, C136.41), FCC Part 15, DLC Qualified Products List, NEC (NFPA 70).</w:t>
      </w:r>
    </w:p>
    <w:p>
      <w:pPr>
        <w:pStyle w:val="Heading1"/>
      </w:pPr>
      <w:r>
        <w:t>3. Lighting performance</w:t>
      </w:r>
    </w:p>
    <w:p>
      <w:pPr>
        <w:pStyle w:val="ListBullet"/>
      </w:pPr>
      <w:r>
        <w:t>The bidder shall submit a lighting calculation for each road type in Annex A, using the photometric file of the offered luminaire.</w:t>
      </w:r>
    </w:p>
    <w:p>
      <w:pPr>
        <w:pStyle w:val="ListBullet"/>
      </w:pPr>
      <w:r>
        <w:t>Each road shall meet the lighting class in Annex A with a maintenance factor of [value].</w:t>
      </w:r>
    </w:p>
    <w:p>
      <w:pPr>
        <w:pStyle w:val="ListBullet"/>
      </w:pPr>
      <w:r>
        <w:t>The bidder shall state the power density indicator (PDI) and annual energy consumption indicator (AECI) per EN 13201-5 for each design.</w:t>
      </w:r>
    </w:p>
    <w:p>
      <w:pPr>
        <w:pStyle w:val="ListBullet"/>
      </w:pPr>
      <w:r>
        <w:t>Uplight: [ULOR 0% / BUG U0]. Glare: [class or threshold increment limit].</w:t>
      </w:r>
    </w:p>
    <w:p>
      <w:pPr>
        <w:pStyle w:val="ListBullet"/>
      </w:pPr>
      <w:r>
        <w:t>CCT: [3000 K residential / 4000 K main roads]. CRI: 70 or more.</w:t>
      </w:r>
    </w:p>
    <w:p>
      <w:pPr>
        <w:pStyle w:val="Heading1"/>
      </w:pPr>
      <w:r>
        <w:t>4. Luminaire</w:t>
      </w:r>
    </w:p>
    <w:p>
      <w:pPr>
        <w:pStyle w:val="ListBullet"/>
      </w:pPr>
      <w:r>
        <w:t>Luminous efficacy of the complete luminaire: [130] lm/W or more, measured to LM-79 or EN 13032-4.</w:t>
      </w:r>
    </w:p>
    <w:p>
      <w:pPr>
        <w:pStyle w:val="ListBullet"/>
      </w:pPr>
      <w:r>
        <w:t>Lifetime: [L80B10] at [100,000] hours, supported by LM-80 data and a TM-21 projection.</w:t>
      </w:r>
    </w:p>
    <w:p>
      <w:pPr>
        <w:pStyle w:val="ListBullet"/>
      </w:pPr>
      <w:r>
        <w:t>Ingress protection IP66; impact protection IK08 or better.</w:t>
      </w:r>
    </w:p>
    <w:p>
      <w:pPr>
        <w:pStyle w:val="ListBullet"/>
      </w:pPr>
      <w:r>
        <w:t>Surge protection: [10] kV differential and common mode, with status indication.</w:t>
      </w:r>
    </w:p>
    <w:p>
      <w:pPr>
        <w:pStyle w:val="ListBullet"/>
      </w:pPr>
      <w:r>
        <w:t>Rated ambient temperature: [−30 °C to +50 °C].</w:t>
      </w:r>
    </w:p>
    <w:p>
      <w:pPr>
        <w:pStyle w:val="ListBullet"/>
      </w:pPr>
      <w:r>
        <w:t>Driver: programmable, with constant light output, stand-alone dimming profile, and [DALI-2 / D4i / 0–10 V] interface.</w:t>
      </w:r>
    </w:p>
    <w:p>
      <w:pPr>
        <w:pStyle w:val="ListBullet"/>
      </w:pPr>
      <w:r>
        <w:t>Controller socket on every luminaire, whether or not nodes are supplied:</w:t>
      </w:r>
    </w:p>
    <w:p>
      <w:r>
        <w:rPr>
          <w:i/>
          <w:color w:val="8A5A00"/>
        </w:rPr>
        <w:t>Europe: Zhaga Book 18 with Zhaga-D4i certification.  Middle East / South Asia: NEMA 7-pin (ANSI C136.41) or Zhaga Book 18, as specified.  USA: NEMA 7-pin (ANSI C136.41).</w:t>
      </w:r>
    </w:p>
    <w:p>
      <w:pPr>
        <w:pStyle w:val="ListBullet"/>
      </w:pPr>
      <w:r>
        <w:t>Driver and LED module shall be replaceable on site with standard tools.</w:t>
      </w:r>
    </w:p>
    <w:p>
      <w:pPr>
        <w:pStyle w:val="ListBullet"/>
      </w:pPr>
      <w:r>
        <w:t>Warranty: [5 / 10] years on the complete luminaire, including driver and surge protector.</w:t>
      </w:r>
    </w:p>
    <w:p>
      <w:pPr>
        <w:pStyle w:val="Heading1"/>
      </w:pPr>
      <w:r>
        <w:t>5. Controllers and network</w:t>
      </w:r>
    </w:p>
    <w:p>
      <w:pPr>
        <w:pStyle w:val="ListBullet"/>
      </w:pPr>
      <w:r>
        <w:t>Cabinet controllers shall measure voltage, current, power, energy, and power factor for each phase, and switch each circuit.</w:t>
      </w:r>
    </w:p>
    <w:p>
      <w:pPr>
        <w:pStyle w:val="ListBullet"/>
      </w:pPr>
      <w:r>
        <w:t>Lamp-level nodes shall switch and dim each luminaire and report energy, burn hours, and faults.</w:t>
      </w:r>
    </w:p>
    <w:p>
      <w:pPr>
        <w:pStyle w:val="ListBullet"/>
      </w:pPr>
      <w:r>
        <w:t>Controllers shall store schedules locally and keep operating if the network or platform is not available.</w:t>
      </w:r>
    </w:p>
    <w:p>
      <w:pPr>
        <w:pStyle w:val="ListBullet"/>
      </w:pPr>
      <w:r>
        <w:t>Communication: [LTE-M / NB-IoT / LoRaWAN / Wi-SUN / RF mesh]. The bidder shall show coverage on site before award.</w:t>
      </w:r>
    </w:p>
    <w:p>
      <w:pPr>
        <w:pStyle w:val="ListBullet"/>
      </w:pPr>
      <w:r>
        <w:t>Interoperability: [TALQ certification] and documented open interfaces.</w:t>
      </w:r>
    </w:p>
    <w:p>
      <w:pPr>
        <w:pStyle w:val="Heading1"/>
      </w:pPr>
      <w:r>
        <w:t>6. Management and maintenance platform</w:t>
      </w:r>
    </w:p>
    <w:p>
      <w:pPr>
        <w:pStyle w:val="ListBullet"/>
      </w:pPr>
      <w:r>
        <w:t>The platform shall manage assets, work orders with SLAs, complaints from residents, night patrols, preventive plans, spares, and reports.</w:t>
      </w:r>
    </w:p>
    <w:p>
      <w:pPr>
        <w:pStyle w:val="ListBullet"/>
      </w:pPr>
      <w:r>
        <w:t>The platform shall work for assets with and without controllers. Controller alarms shall raise work orders automatically.</w:t>
      </w:r>
    </w:p>
    <w:p>
      <w:pPr>
        <w:pStyle w:val="ListBullet"/>
      </w:pPr>
      <w:r>
        <w:t>Reports: share working, SLA met, mean time to repair, repeat failures, energy by circuit, and warranty claims, with export to CSV.</w:t>
      </w:r>
    </w:p>
    <w:p>
      <w:pPr>
        <w:pStyle w:val="ListBullet"/>
      </w:pPr>
      <w:r>
        <w:t>Open API, and full export of all data in an open format at any time and at contract end, at no extra cost.</w:t>
      </w:r>
    </w:p>
    <w:p>
      <w:pPr>
        <w:pStyle w:val="ListBullet"/>
      </w:pPr>
      <w:r>
        <w:t>Platform availability: [99.5]% per month. Support hours: [hours].</w:t>
      </w:r>
    </w:p>
    <w:p>
      <w:pPr>
        <w:pStyle w:val="Heading1"/>
      </w:pPr>
      <w:r>
        <w:t>7. Cybersecurity and data</w:t>
      </w:r>
    </w:p>
    <w:p>
      <w:pPr>
        <w:pStyle w:val="ListBullet"/>
      </w:pPr>
      <w:r>
        <w:t>Unique credentials per device; no shared or default passwords. Encrypted communication. Signed firmware updates.</w:t>
      </w:r>
    </w:p>
    <w:p>
      <w:pPr>
        <w:pStyle w:val="ListBullet"/>
      </w:pPr>
      <w:r>
        <w:t>Role-based access, and a log of all switching commands with user and time.</w:t>
      </w:r>
    </w:p>
    <w:p>
      <w:pPr>
        <w:pStyle w:val="ListBullet"/>
      </w:pPr>
      <w:r>
        <w:t>The authority owns all data. Hosting location: [country / region].</w:t>
      </w:r>
    </w:p>
    <w:p>
      <w:r>
        <w:rPr>
          <w:i/>
          <w:color w:val="8A5A00"/>
        </w:rPr>
        <w:t>Europe: RED cybersecurity (EN 18031), Cyber Resilience Act, GDPR.  Middle East: TDRA / NCA requirements, local data residency.  South Asia: CERT-In directions, DPDP Act 2023.  USA: NIST IR 8259, applicable state laws.</w:t>
      </w:r>
    </w:p>
    <w:p>
      <w:pPr>
        <w:pStyle w:val="Heading1"/>
      </w:pPr>
      <w:r>
        <w:t>8. Operation and maintenance</w:t>
      </w:r>
    </w:p>
    <w:p>
      <w:pPr>
        <w:pStyle w:val="ListBullet"/>
      </w:pPr>
      <w:r>
        <w:t>Minimum share working: [98]% each month, measured by [controller data / patrols / joint inspection].</w:t>
      </w:r>
    </w:p>
    <w:p>
      <w:pPr>
        <w:pStyle w:val="ListBullet"/>
      </w:pPr>
      <w:r>
        <w:t>Response times: Critical [4] h, High [24] h, Normal [48] h, Low [72] h, from the time the job is raised.</w:t>
      </w:r>
    </w:p>
    <w:p>
      <w:pPr>
        <w:pStyle w:val="ListBullet"/>
      </w:pPr>
      <w:r>
        <w:t>Penalty: [rate] for each light-day dark above the allowed limit. Exclusions: [grid outages, road works, accidents, vandalism above a limit].</w:t>
      </w:r>
    </w:p>
    <w:p>
      <w:pPr>
        <w:pStyle w:val="ListBullet"/>
      </w:pPr>
      <w:r>
        <w:t>Night patrols every [2] weeks on every route. Preventive plan as per Annex B.</w:t>
      </w:r>
    </w:p>
    <w:p>
      <w:pPr>
        <w:pStyle w:val="ListBullet"/>
      </w:pPr>
      <w:r>
        <w:t>Monthly report from the shared platform, agreed by both parties.</w:t>
      </w:r>
    </w:p>
    <w:p>
      <w:pPr>
        <w:pStyle w:val="Heading1"/>
      </w:pPr>
      <w:r>
        <w:t>9. Commissioning and handover</w:t>
      </w:r>
    </w:p>
    <w:p>
      <w:pPr>
        <w:pStyle w:val="ListBullet"/>
      </w:pPr>
      <w:r>
        <w:t>Each controller and node shall be commissioned per the commissioning checklist: asset mapping, location and clock, readings checked against a calibrated meter, switching and dimming tested, one alarm tested.</w:t>
      </w:r>
    </w:p>
    <w:p>
      <w:pPr>
        <w:pStyle w:val="ListBullet"/>
      </w:pPr>
      <w:r>
        <w:t>As-built asset register in the format of the asset import template, with locations, circuits, and serial numbers.</w:t>
      </w:r>
    </w:p>
    <w:p>
      <w:pPr>
        <w:pStyle w:val="Heading1"/>
      </w:pPr>
      <w:r>
        <w:t>10. Local procurement rules</w:t>
      </w:r>
    </w:p>
    <w:p>
      <w:r>
        <w:rPr>
          <w:i/>
          <w:color w:val="8A5A00"/>
        </w:rPr>
        <w:t>Europe: Directive 2014/24/EU; EU Green Public Procurement criteria for road lighting.  Middle East: local content / in-country value scoring.  South Asia: GeM; Public Procurement (Make in India) Order.  USA: Build America, Buy America (federally funded).</w:t>
      </w:r>
    </w:p>
    <w:p>
      <w:pPr>
        <w:pStyle w:val="Heading1"/>
      </w:pPr>
      <w:r>
        <w:t>Annex A — Road types and lighting classes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Road name / type</w:t>
            </w:r>
          </w:p>
        </w:tc>
        <w:tc>
          <w:tcPr>
            <w:tcW w:type="dxa" w:w="1440"/>
          </w:tcPr>
          <w:p>
            <w:r>
              <w:t>Width (m)</w:t>
            </w:r>
          </w:p>
        </w:tc>
        <w:tc>
          <w:tcPr>
            <w:tcW w:type="dxa" w:w="1440"/>
          </w:tcPr>
          <w:p>
            <w:r>
              <w:t>Lanes</w:t>
            </w:r>
          </w:p>
        </w:tc>
        <w:tc>
          <w:tcPr>
            <w:tcW w:type="dxa" w:w="1440"/>
          </w:tcPr>
          <w:p>
            <w:r>
              <w:t>Pole height (m)</w:t>
            </w:r>
          </w:p>
        </w:tc>
        <w:tc>
          <w:tcPr>
            <w:tcW w:type="dxa" w:w="1440"/>
          </w:tcPr>
          <w:p>
            <w:r>
              <w:t>Spacing (m)</w:t>
            </w:r>
          </w:p>
        </w:tc>
        <w:tc>
          <w:tcPr>
            <w:tcW w:type="dxa" w:w="1440"/>
          </w:tcPr>
          <w:p>
            <w:r>
              <w:t>Lighting class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1"/>
      </w:pPr>
      <w:r>
        <w:t>Annex B — Preventive maintenance plan</w:t>
      </w:r>
    </w:p>
    <w:p>
      <w:r>
        <w:rPr>
          <w:i w:val="0"/>
        </w:rPr>
        <w:t>Use the OpenSLMS preventive maintenance plan template and set intervals for the local climate.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